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75C" w:rsidRDefault="004824E7">
      <w:pPr>
        <w:pStyle w:val="a9"/>
        <w:spacing w:line="276" w:lineRule="auto"/>
        <w:jc w:val="center"/>
        <w:rPr>
          <w:rStyle w:val="a3"/>
          <w:rFonts w:ascii="Cambria" w:hAnsi="Cambria"/>
          <w:b/>
          <w:bCs/>
          <w:lang w:eastAsia="ru-RU"/>
        </w:rPr>
      </w:pPr>
      <w:r>
        <w:rPr>
          <w:rStyle w:val="a3"/>
          <w:rFonts w:ascii="Cambria" w:hAnsi="Cambria"/>
          <w:b/>
          <w:bCs/>
          <w:lang w:eastAsia="ru-RU"/>
        </w:rPr>
        <w:t>ТЕХНИЧЕСКОЕ ЗАДАНИЕ</w:t>
      </w:r>
    </w:p>
    <w:p w:rsidR="003E275C" w:rsidRDefault="003E275C">
      <w:pPr>
        <w:pStyle w:val="a9"/>
        <w:spacing w:line="276" w:lineRule="auto"/>
        <w:jc w:val="center"/>
        <w:rPr>
          <w:rStyle w:val="a3"/>
          <w:rFonts w:ascii="Cambria" w:hAnsi="Cambria"/>
          <w:b/>
          <w:bCs/>
          <w:lang w:eastAsia="ru-RU"/>
        </w:rPr>
      </w:pPr>
    </w:p>
    <w:p w:rsidR="003E275C" w:rsidRDefault="004824E7">
      <w:pPr>
        <w:pStyle w:val="a9"/>
        <w:spacing w:line="276" w:lineRule="auto"/>
        <w:jc w:val="center"/>
        <w:rPr>
          <w:rStyle w:val="a3"/>
          <w:rFonts w:ascii="Cambria" w:hAnsi="Cambria"/>
          <w:b/>
          <w:bCs/>
          <w:lang w:eastAsia="ru-RU"/>
        </w:rPr>
      </w:pPr>
      <w:r>
        <w:rPr>
          <w:rStyle w:val="a3"/>
          <w:rFonts w:ascii="Cambria" w:hAnsi="Cambria"/>
          <w:b/>
          <w:bCs/>
          <w:lang w:eastAsia="ru-RU"/>
        </w:rPr>
        <w:t xml:space="preserve">на выполнение работ по ремонту оборудования на автоматическом пункте весового и габаритного контроля транспортных средств Лебяжье — Мокроусово — Щигры в </w:t>
      </w:r>
      <w:proofErr w:type="spellStart"/>
      <w:r>
        <w:rPr>
          <w:rStyle w:val="a3"/>
          <w:rFonts w:ascii="Cambria" w:hAnsi="Cambria"/>
          <w:b/>
          <w:bCs/>
          <w:lang w:eastAsia="ru-RU"/>
        </w:rPr>
        <w:t>Мокроусовском</w:t>
      </w:r>
      <w:proofErr w:type="spellEnd"/>
      <w:r>
        <w:rPr>
          <w:rStyle w:val="a3"/>
          <w:rFonts w:ascii="Cambria" w:hAnsi="Cambria"/>
          <w:b/>
          <w:bCs/>
          <w:lang w:eastAsia="ru-RU"/>
        </w:rPr>
        <w:t xml:space="preserve"> муниципальном округе Курганской области на участке км 71+566</w:t>
      </w:r>
    </w:p>
    <w:p w:rsidR="003E275C" w:rsidRDefault="003E275C">
      <w:pPr>
        <w:pStyle w:val="a9"/>
        <w:spacing w:line="276" w:lineRule="auto"/>
        <w:jc w:val="both"/>
        <w:rPr>
          <w:rStyle w:val="a3"/>
          <w:rFonts w:ascii="Cambria" w:hAnsi="Cambria"/>
          <w:lang w:eastAsia="ru-RU"/>
        </w:rPr>
      </w:pPr>
    </w:p>
    <w:p w:rsidR="003E275C" w:rsidRDefault="004824E7">
      <w:pPr>
        <w:pStyle w:val="a9"/>
        <w:spacing w:line="276" w:lineRule="auto"/>
        <w:jc w:val="both"/>
        <w:rPr>
          <w:rStyle w:val="a3"/>
          <w:rFonts w:ascii="Cambria" w:hAnsi="Cambria"/>
          <w:b/>
          <w:bCs/>
          <w:lang w:eastAsia="ru-RU"/>
        </w:rPr>
      </w:pPr>
      <w:r>
        <w:rPr>
          <w:rStyle w:val="a3"/>
          <w:rFonts w:ascii="Cambria" w:hAnsi="Cambria"/>
          <w:b/>
          <w:bCs/>
          <w:i w:val="0"/>
          <w:iCs w:val="0"/>
          <w:lang w:eastAsia="ru-RU"/>
        </w:rPr>
        <w:t>1. Место выполнения работ: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 xml:space="preserve">Пост автоматического пункта весогабаритного контроля (далее — АПВГК), расположенный на автомобильной дороге общего пользования регионального значения Курганской области «Лебяжье — Мокроусово — Щигры» в </w:t>
      </w: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Мокроусовском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 xml:space="preserve"> муниципальном округе Курганской области на участке км 71+566.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  <w:r>
        <w:rPr>
          <w:rStyle w:val="a3"/>
          <w:rFonts w:ascii="Cambria" w:hAnsi="Cambria"/>
          <w:b/>
          <w:bCs/>
          <w:i w:val="0"/>
          <w:iCs w:val="0"/>
          <w:lang w:eastAsia="ru-RU"/>
        </w:rPr>
        <w:t>2. Назначение и состав автоматизированного пункта весогабаритного контроля транспортных средств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2.1. Определения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Под автоматизированным пунктом весогабаритного контроля транспортных средств (далее — «Комплекс») понимается совокупность стационарно установленного оборудования и программных средств, которые обеспечивают измерение весогабаритных параметров транспортного средства (далее — ТС) без снижения скорости движения транспортных средств на данном участке автомобильной дороги общего пользования регионального значения.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2.2. Термины и сокращения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tbl>
      <w:tblPr>
        <w:tblStyle w:val="ad"/>
        <w:tblW w:w="9353" w:type="dxa"/>
        <w:tblLayout w:type="fixed"/>
        <w:tblLook w:val="04A0" w:firstRow="1" w:lastRow="0" w:firstColumn="1" w:lastColumn="0" w:noHBand="0" w:noVBand="1"/>
      </w:tblPr>
      <w:tblGrid>
        <w:gridCol w:w="1546"/>
        <w:gridCol w:w="7807"/>
      </w:tblGrid>
      <w:tr w:rsidR="003E275C"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center"/>
              <w:rPr>
                <w:rStyle w:val="a3"/>
                <w:rFonts w:ascii="Cambria" w:hAnsi="Cambria"/>
                <w:b/>
                <w:bCs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b/>
                <w:bCs/>
                <w:i w:val="0"/>
                <w:iCs w:val="0"/>
                <w:lang w:eastAsia="ru-RU"/>
              </w:rPr>
              <w:t>Сокращение</w:t>
            </w:r>
          </w:p>
        </w:tc>
        <w:tc>
          <w:tcPr>
            <w:tcW w:w="780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center"/>
              <w:rPr>
                <w:rStyle w:val="a3"/>
                <w:rFonts w:ascii="Cambria" w:hAnsi="Cambria"/>
                <w:b/>
                <w:bCs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b/>
                <w:bCs/>
                <w:i w:val="0"/>
                <w:iCs w:val="0"/>
                <w:lang w:eastAsia="ru-RU"/>
              </w:rPr>
              <w:t>Расшифровка</w:t>
            </w:r>
          </w:p>
        </w:tc>
      </w:tr>
      <w:tr w:rsidR="003E275C"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b/>
                <w:bCs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b/>
                <w:bCs/>
                <w:i w:val="0"/>
                <w:iCs w:val="0"/>
                <w:lang w:eastAsia="ru-RU"/>
              </w:rPr>
              <w:t>СВК</w:t>
            </w:r>
          </w:p>
        </w:tc>
        <w:tc>
          <w:tcPr>
            <w:tcW w:w="780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center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Система весогабаритного контроля</w:t>
            </w:r>
          </w:p>
        </w:tc>
      </w:tr>
      <w:tr w:rsidR="003E275C"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b/>
                <w:bCs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b/>
                <w:bCs/>
                <w:i w:val="0"/>
                <w:iCs w:val="0"/>
                <w:lang w:eastAsia="ru-RU"/>
              </w:rPr>
              <w:t>БДВК</w:t>
            </w:r>
          </w:p>
        </w:tc>
        <w:tc>
          <w:tcPr>
            <w:tcW w:w="780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center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Блок динамического взвешивания</w:t>
            </w:r>
          </w:p>
        </w:tc>
      </w:tr>
      <w:tr w:rsidR="003E275C"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b/>
                <w:bCs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b/>
                <w:bCs/>
                <w:i w:val="0"/>
                <w:iCs w:val="0"/>
                <w:lang w:eastAsia="ru-RU"/>
              </w:rPr>
              <w:t>ГРЗ</w:t>
            </w:r>
          </w:p>
        </w:tc>
        <w:tc>
          <w:tcPr>
            <w:tcW w:w="780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center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Государственный регистрационный знак</w:t>
            </w:r>
          </w:p>
        </w:tc>
      </w:tr>
      <w:tr w:rsidR="003E275C"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b/>
                <w:bCs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b/>
                <w:bCs/>
                <w:i w:val="0"/>
                <w:iCs w:val="0"/>
                <w:lang w:eastAsia="ru-RU"/>
              </w:rPr>
              <w:t>АПВГК</w:t>
            </w:r>
          </w:p>
        </w:tc>
        <w:tc>
          <w:tcPr>
            <w:tcW w:w="780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center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Автоматический пункт весогабаритного контроля</w:t>
            </w:r>
          </w:p>
        </w:tc>
      </w:tr>
      <w:tr w:rsidR="003E275C"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b/>
                <w:bCs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b/>
                <w:bCs/>
                <w:i w:val="0"/>
                <w:iCs w:val="0"/>
                <w:lang w:eastAsia="ru-RU"/>
              </w:rPr>
              <w:t>ТС</w:t>
            </w:r>
          </w:p>
        </w:tc>
        <w:tc>
          <w:tcPr>
            <w:tcW w:w="780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center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Транспортное средство</w:t>
            </w:r>
          </w:p>
        </w:tc>
      </w:tr>
      <w:tr w:rsidR="003E275C"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b/>
                <w:bCs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b/>
                <w:bCs/>
                <w:i w:val="0"/>
                <w:iCs w:val="0"/>
                <w:lang w:eastAsia="ru-RU"/>
              </w:rPr>
              <w:t>СКЗИ</w:t>
            </w:r>
          </w:p>
        </w:tc>
        <w:tc>
          <w:tcPr>
            <w:tcW w:w="780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center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Средства криптографической защиты информации</w:t>
            </w:r>
          </w:p>
        </w:tc>
      </w:tr>
      <w:tr w:rsidR="003E275C"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b/>
                <w:bCs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b/>
                <w:bCs/>
                <w:i w:val="0"/>
                <w:iCs w:val="0"/>
                <w:lang w:eastAsia="ru-RU"/>
              </w:rPr>
              <w:t>АЦП</w:t>
            </w:r>
          </w:p>
        </w:tc>
        <w:tc>
          <w:tcPr>
            <w:tcW w:w="7806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center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Аналого-цифровой преобразователь</w:t>
            </w:r>
          </w:p>
        </w:tc>
      </w:tr>
    </w:tbl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2.3. Назначение Комплекса. Комплекс предназначен для решения следующих задач:</w:t>
      </w:r>
    </w:p>
    <w:p w:rsidR="003E275C" w:rsidRDefault="004824E7">
      <w:pPr>
        <w:pStyle w:val="aa"/>
        <w:numPr>
          <w:ilvl w:val="2"/>
          <w:numId w:val="7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Обеспечение транспортного контроля всех полос движения в каждом из направлений;</w:t>
      </w:r>
    </w:p>
    <w:p w:rsidR="003E275C" w:rsidRDefault="004824E7">
      <w:pPr>
        <w:pStyle w:val="aa"/>
        <w:numPr>
          <w:ilvl w:val="2"/>
          <w:numId w:val="7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Повышение качества контроля проезда транспортных средств, перевозящих тяжеловесные и крупногабаритные грузы;</w:t>
      </w:r>
    </w:p>
    <w:p w:rsidR="003E275C" w:rsidRDefault="004824E7">
      <w:pPr>
        <w:pStyle w:val="aa"/>
        <w:numPr>
          <w:ilvl w:val="2"/>
          <w:numId w:val="7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Обеспечение сохранности автомобильных дорог общего пользования путем:</w:t>
      </w:r>
    </w:p>
    <w:p w:rsidR="003E275C" w:rsidRDefault="004824E7">
      <w:pPr>
        <w:pStyle w:val="aa"/>
        <w:numPr>
          <w:ilvl w:val="2"/>
          <w:numId w:val="7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Недопущения несанкционированного проезда транспортных средств с превышением предельно допустимых норм весогабаритных параметров, установленных на территории РФ;</w:t>
      </w:r>
    </w:p>
    <w:p w:rsidR="003E275C" w:rsidRDefault="004824E7">
      <w:pPr>
        <w:pStyle w:val="aa"/>
        <w:numPr>
          <w:ilvl w:val="2"/>
          <w:numId w:val="7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Принятия необходимых мер по поддержанию эксплуатационных характеристик автомобильных дорог на основе обобщения и анализа полученных данных о суммарной нагрузке, создаваемой транспортными средствами в процессе жизненного цикла автомобильных дорог;</w:t>
      </w:r>
    </w:p>
    <w:p w:rsidR="003E275C" w:rsidRDefault="004824E7">
      <w:pPr>
        <w:pStyle w:val="aa"/>
        <w:numPr>
          <w:ilvl w:val="2"/>
          <w:numId w:val="7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Увеличения срока службы дорожного покрытия и искусственных сооружений;</w:t>
      </w:r>
    </w:p>
    <w:p w:rsidR="003E275C" w:rsidRDefault="004824E7">
      <w:pPr>
        <w:pStyle w:val="aa"/>
        <w:numPr>
          <w:ilvl w:val="2"/>
          <w:numId w:val="7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Повышения уровня безопасности дорожного движения.</w:t>
      </w:r>
    </w:p>
    <w:p w:rsidR="003E275C" w:rsidRDefault="003E275C">
      <w:pPr>
        <w:pStyle w:val="aa"/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2.4. Функции Комплекса</w:t>
      </w:r>
    </w:p>
    <w:p w:rsidR="003E275C" w:rsidRDefault="004824E7">
      <w:pPr>
        <w:pStyle w:val="aa"/>
        <w:numPr>
          <w:ilvl w:val="2"/>
          <w:numId w:val="8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Комплекс обеспечивает выполнение следующих функций:</w:t>
      </w:r>
    </w:p>
    <w:p w:rsidR="003E275C" w:rsidRDefault="004824E7">
      <w:pPr>
        <w:pStyle w:val="aa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lastRenderedPageBreak/>
        <w:t>Оперативное круглосуточное измерение весовых и габаритных параметров грузовых транспортных средств и выявление транспортных средств, движущихся с превышением предельно допустимых норм по весовым и габаритным параметрам, установленных законодательством на территории Российской Федерации;</w:t>
      </w:r>
    </w:p>
    <w:p w:rsidR="003E275C" w:rsidRDefault="004824E7">
      <w:pPr>
        <w:pStyle w:val="aa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Сбор, обработку и хранение сведений о нарушении, установленных действующим законодательством Российской Федерации ограничений в области перевозки крупногабаритных и (или) тяжеловесных грузов;</w:t>
      </w:r>
    </w:p>
    <w:p w:rsidR="003E275C" w:rsidRDefault="004824E7">
      <w:pPr>
        <w:pStyle w:val="aa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Однозначное определение местоположения государственного регистрационного знака (далее — ГРЗ) на передней части ТС и полное распознавание комбинации цифр и букв ГРЗ независимо от государственной принадлежности ТС;</w:t>
      </w:r>
    </w:p>
    <w:p w:rsidR="003E275C" w:rsidRDefault="004824E7">
      <w:pPr>
        <w:pStyle w:val="aa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Распознавание категории ТС в соответствии с классификацией стандарта EUR13 / РУС 12;</w:t>
      </w:r>
    </w:p>
    <w:p w:rsidR="003E275C" w:rsidRDefault="004824E7">
      <w:pPr>
        <w:pStyle w:val="aa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Фотофиксацию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 xml:space="preserve"> общего вида ТС, позволяющую однозначно идентифицировать ТС и его категорию в момент проезда через </w:t>
      </w: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весоизмерительные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 xml:space="preserve"> датчики;</w:t>
      </w:r>
    </w:p>
    <w:p w:rsidR="003E275C" w:rsidRDefault="004824E7">
      <w:pPr>
        <w:pStyle w:val="aa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Передачу данных о распознанном ГРЗ, фактических весогабаритных параметрах ТС и иных результатах мониторинга движения транспортного средства в базу данных «База данных мониторинга и выявленных нарушений» информационной системы;</w:t>
      </w:r>
    </w:p>
    <w:p w:rsidR="003E275C" w:rsidRDefault="004824E7">
      <w:pPr>
        <w:pStyle w:val="aa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Проведение процедуры самодиагностики с отправкой сообщений о неисправностях ответственным за эксплуатацию Комплекса лицам.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2.5. Измеряемые параметры</w:t>
      </w:r>
    </w:p>
    <w:p w:rsidR="003E275C" w:rsidRDefault="004824E7">
      <w:pPr>
        <w:pStyle w:val="aa"/>
        <w:numPr>
          <w:ilvl w:val="2"/>
          <w:numId w:val="9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В процессе измерения весогабаритных параметров ТС в автоматическом режиме осуществляется:</w:t>
      </w:r>
    </w:p>
    <w:p w:rsidR="003E275C" w:rsidRDefault="004824E7">
      <w:pPr>
        <w:pStyle w:val="a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Измерение нагрузки на каждую ось транспортного средства;</w:t>
      </w:r>
    </w:p>
    <w:p w:rsidR="003E275C" w:rsidRDefault="004824E7">
      <w:pPr>
        <w:pStyle w:val="a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Определение массы транспортного средства;</w:t>
      </w:r>
    </w:p>
    <w:p w:rsidR="003E275C" w:rsidRDefault="004824E7">
      <w:pPr>
        <w:pStyle w:val="a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Определение количества осей транспортного средства;</w:t>
      </w:r>
    </w:p>
    <w:p w:rsidR="003E275C" w:rsidRDefault="004824E7">
      <w:pPr>
        <w:pStyle w:val="a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Измерение межосевых расстояний транспортного средства;</w:t>
      </w:r>
    </w:p>
    <w:p w:rsidR="003E275C" w:rsidRDefault="004824E7">
      <w:pPr>
        <w:pStyle w:val="a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Определение количества колес (</w:t>
      </w: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скатности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>) на осях транспортного средства;</w:t>
      </w:r>
    </w:p>
    <w:p w:rsidR="003E275C" w:rsidRDefault="004824E7">
      <w:pPr>
        <w:pStyle w:val="a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Измерение габаритных параметров транспортного средства;</w:t>
      </w:r>
    </w:p>
    <w:p w:rsidR="003E275C" w:rsidRDefault="004824E7">
      <w:pPr>
        <w:pStyle w:val="a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Фотофиксация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 xml:space="preserve"> и распознавание государственного регистрационного номера транспортного средства;</w:t>
      </w:r>
    </w:p>
    <w:p w:rsidR="003E275C" w:rsidRDefault="004824E7">
      <w:pPr>
        <w:pStyle w:val="a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Фотофиксация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 xml:space="preserve"> фронтального изображения транспортного средства;</w:t>
      </w:r>
    </w:p>
    <w:p w:rsidR="003E275C" w:rsidRDefault="004824E7">
      <w:pPr>
        <w:pStyle w:val="a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Фотофиксация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 xml:space="preserve"> общего вида транспортного средства (вид сбоку) в момент проезда через </w:t>
      </w: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весоизмерительные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 xml:space="preserve"> датчики (получение обзорной фотографии транспортного средства, на которой отражены его контуры и количество осей);</w:t>
      </w:r>
    </w:p>
    <w:p w:rsidR="003E275C" w:rsidRDefault="004824E7">
      <w:pPr>
        <w:pStyle w:val="aa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Измерение и передача в центр обработки данных владельца автомобильной дороги зафиксированных параметров транспортных средств посредством канала связи, обеспечивающего криптографическую защиту передаваемой информации в соответствии с требованиями Приказа ФСБ России от 10.07.2014 № 378 (или иного действующего нормативного правового акта) с использованием сертифицированных средств криптографической защиты информации (СКЗИ). Канал связи предоставляется владельцем оборудования.</w:t>
      </w:r>
    </w:p>
    <w:p w:rsidR="003E275C" w:rsidRDefault="003E275C">
      <w:pPr>
        <w:pStyle w:val="aa"/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  <w:r>
        <w:rPr>
          <w:rStyle w:val="a3"/>
          <w:rFonts w:ascii="Cambria" w:hAnsi="Cambria"/>
          <w:b/>
          <w:bCs/>
          <w:i w:val="0"/>
          <w:iCs w:val="0"/>
          <w:lang w:eastAsia="ru-RU"/>
        </w:rPr>
        <w:t>3. Технические требования к поставляемому оборудованию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3.1. Объект закупки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Блок динамического взвешивания (или эквивалент), обеспечивающий измерение весовых параметров ТС в движении со скоростью от 1 до 140 км/ч, с погрешностью измерения нагрузки на ось не более 10%, оснащённый многоканальным аналого-цифровым преобразователем — 1 штука.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3.2. Общие требования к оборудованию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pStyle w:val="aa"/>
        <w:numPr>
          <w:ilvl w:val="2"/>
          <w:numId w:val="6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Оборудование должно соответствовать следующим требованиям:</w:t>
      </w:r>
    </w:p>
    <w:p w:rsidR="003E275C" w:rsidRDefault="004824E7">
      <w:pPr>
        <w:pStyle w:val="aa"/>
        <w:numPr>
          <w:ilvl w:val="2"/>
          <w:numId w:val="6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Обеспечивать определение весовых параметров транспортного средства без снижения его скорости движения в диапазоне от 1 км/ч до 140 км/ч, с погрешностью измерения нагрузки на ось не более 10%;</w:t>
      </w:r>
    </w:p>
    <w:p w:rsidR="003E275C" w:rsidRDefault="004824E7">
      <w:pPr>
        <w:pStyle w:val="aa"/>
        <w:numPr>
          <w:ilvl w:val="2"/>
          <w:numId w:val="6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Технические характеристики оборудования должны соответствовать требованиям ГОСТ Р 58495-2019 «Системы весогабаритного контроля транспортных средств. Общие технические требования» (Требований завода изготовителя оборудования или иного применимого национального стандарта).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3.3. Технические характеристики</w:t>
      </w:r>
    </w:p>
    <w:tbl>
      <w:tblPr>
        <w:tblStyle w:val="ad"/>
        <w:tblW w:w="9355" w:type="dxa"/>
        <w:tblLayout w:type="fixed"/>
        <w:tblLook w:val="04A0" w:firstRow="1" w:lastRow="0" w:firstColumn="1" w:lastColumn="0" w:noHBand="0" w:noVBand="1"/>
      </w:tblPr>
      <w:tblGrid>
        <w:gridCol w:w="797"/>
        <w:gridCol w:w="7078"/>
        <w:gridCol w:w="1480"/>
      </w:tblGrid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№ п/п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Наименование характеристики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Значение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3.1.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Наибольший предел взвешивания оси, т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20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3.2.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Погрешность измерения нагрузки на ось, не более, %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10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3.3.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Максимальное количество осей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40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3.4.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Минимальная скорость движения автотранспорта, км/ч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1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3.5.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Максимальная скорость движения автотранспорта, км/ч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140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3.6.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Напряжение питания постоянного тока, В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5 и 15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3.7.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Потребляемая мощность от источников: постоянного тока 5 В, не более, Вт; постоянного тока 15 В, не более, Вт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2; 10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3.8.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Время установления рабочего режима, мин, не более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10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3.9.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Рабочий диапазон температур, °С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от -40 до +50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3.10.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Атмосферное давление, кПа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от 84 до 107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3.11.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Относительная влажность при +35 °С, %, не более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90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3.12.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Габаритные размеры оборудования, мм (или эквивалент)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140×120×70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3.13.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Масса оборудования, кг, не более (или эквивалент)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1,2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3.14.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Полный срок службы, лет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4824E7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  <w:r>
              <w:rPr>
                <w:rStyle w:val="a3"/>
                <w:rFonts w:ascii="Cambria" w:eastAsia="Calibri" w:hAnsi="Cambria"/>
                <w:i w:val="0"/>
                <w:iCs w:val="0"/>
                <w:lang w:eastAsia="ru-RU"/>
              </w:rPr>
              <w:t>5</w:t>
            </w:r>
          </w:p>
        </w:tc>
      </w:tr>
      <w:tr w:rsidR="003E275C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3E275C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3E275C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275C" w:rsidRDefault="003E275C">
            <w:pPr>
              <w:spacing w:after="0" w:line="276" w:lineRule="auto"/>
              <w:jc w:val="both"/>
              <w:rPr>
                <w:rStyle w:val="a3"/>
                <w:rFonts w:ascii="Cambria" w:hAnsi="Cambria"/>
                <w:i w:val="0"/>
                <w:iCs w:val="0"/>
                <w:lang w:eastAsia="ru-RU"/>
              </w:rPr>
            </w:pPr>
          </w:p>
        </w:tc>
      </w:tr>
    </w:tbl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3.4. Требования к качеству и совместимости оборудования</w:t>
      </w:r>
    </w:p>
    <w:p w:rsidR="003E275C" w:rsidRDefault="004824E7">
      <w:pPr>
        <w:pStyle w:val="aa"/>
        <w:numPr>
          <w:ilvl w:val="2"/>
          <w:numId w:val="5"/>
        </w:numPr>
        <w:shd w:val="clear" w:color="auto" w:fill="FFFFFF"/>
        <w:spacing w:after="0" w:line="276" w:lineRule="auto"/>
        <w:ind w:left="851" w:hanging="851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Используемое оборудование, изделия и материалы должны быть новыми, ранее не использованными, не бывшими в эксплуатации, не восстановленными, не содержащими заменённых компонентов.</w:t>
      </w:r>
    </w:p>
    <w:p w:rsidR="003E275C" w:rsidRDefault="004824E7">
      <w:pPr>
        <w:pStyle w:val="aa"/>
        <w:numPr>
          <w:ilvl w:val="2"/>
          <w:numId w:val="5"/>
        </w:numPr>
        <w:shd w:val="clear" w:color="auto" w:fill="FFFFFF"/>
        <w:spacing w:after="0" w:line="276" w:lineRule="auto"/>
        <w:ind w:left="851" w:hanging="851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Оборудование должно быть совместимо с действующей системой весогабаритного контроля на объекте (технические характеристики действующей системы прилагаются в Приложении №1). Совместимость подтверждается одним из документов - протоколом испытаний или письмом изготовителя оборудования.</w:t>
      </w:r>
    </w:p>
    <w:p w:rsidR="003E275C" w:rsidRDefault="004824E7">
      <w:pPr>
        <w:pStyle w:val="aa"/>
        <w:numPr>
          <w:ilvl w:val="2"/>
          <w:numId w:val="5"/>
        </w:numPr>
        <w:shd w:val="clear" w:color="auto" w:fill="FFFFFF"/>
        <w:spacing w:after="0" w:line="276" w:lineRule="auto"/>
        <w:ind w:left="851" w:hanging="851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Оборудование должно поставляться в заводской упаковке, обеспечивающей сохранность при транспортировке и хранении в условиях воздействия температур от -40 °С до +50 °С.В комплекте поставки должны быть: паспорт изделия, руководство по эксплуатации, гарантийный талон — на русском языке.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  <w:r>
        <w:rPr>
          <w:rStyle w:val="a3"/>
          <w:rFonts w:ascii="Cambria" w:hAnsi="Cambria"/>
          <w:b/>
          <w:bCs/>
          <w:i w:val="0"/>
          <w:iCs w:val="0"/>
          <w:lang w:eastAsia="ru-RU"/>
        </w:rPr>
        <w:t>4. Гарантийные обязательства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4.1. Гарантийный срок на поставляемое оборудование — не менее 12 (двенадцати) месяцев с даты подписания акта приёма-передачи.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4.2. Гарантийные обязательства распространяются на всё оборудование, используемое Подрядчиком при выполнении работ. Подрядчик не вправе изменять или уменьшать условия гарантии, предоставляемые заводом-изготовителем.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4.3. Началом срока действия гарантийных обязательств считается дата подписания акта приёма-передачи оборудования.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lastRenderedPageBreak/>
        <w:t>4.4. Гарантийные обязательства оформляются в виде Гарантийного паспорта на бумажном носителе в 2 (двух) экземплярах, а также в электронном виде.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4.5. Гарантийные обязательства должны включать:</w:t>
      </w:r>
    </w:p>
    <w:p w:rsidR="003E275C" w:rsidRDefault="004824E7">
      <w:pPr>
        <w:pStyle w:val="aa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бесплатный ремонт или замену неисправного оборудования;</w:t>
      </w:r>
    </w:p>
    <w:p w:rsidR="003E275C" w:rsidRDefault="004824E7">
      <w:pPr>
        <w:pStyle w:val="aa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устранение недостатков, выявленных в ходе эксплуатации;</w:t>
      </w:r>
    </w:p>
    <w:p w:rsidR="003E275C" w:rsidRDefault="004824E7">
      <w:pPr>
        <w:pStyle w:val="aa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техническую поддержку в течение гарантийного срока.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  <w:r>
        <w:rPr>
          <w:rStyle w:val="a3"/>
          <w:rFonts w:ascii="Cambria" w:hAnsi="Cambria"/>
          <w:b/>
          <w:bCs/>
          <w:i w:val="0"/>
          <w:iCs w:val="0"/>
          <w:lang w:eastAsia="ru-RU"/>
        </w:rPr>
        <w:t>5. Перечень исполнительной документации, необходимой для сдачи выполненных работ при приёмке выполненных работ Подрядчик представляет Заказчику исполнительно-техническую документацию, в том числе:</w:t>
      </w:r>
    </w:p>
    <w:p w:rsidR="003E275C" w:rsidRDefault="004824E7">
      <w:pPr>
        <w:pStyle w:val="aa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паспорта завода-изготовителя на оборудование и материалы, использованные при выполнении работ, в оригинале или в заверенных копиях;</w:t>
      </w:r>
    </w:p>
    <w:p w:rsidR="003E275C" w:rsidRDefault="004824E7">
      <w:pPr>
        <w:pStyle w:val="aa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руководство по эксплуатации на русском языке;</w:t>
      </w:r>
    </w:p>
    <w:p w:rsidR="003E275C" w:rsidRDefault="004824E7">
      <w:pPr>
        <w:pStyle w:val="aa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гарантийные паспорта на оборудование;</w:t>
      </w:r>
    </w:p>
    <w:p w:rsidR="003E275C" w:rsidRDefault="004824E7">
      <w:pPr>
        <w:pStyle w:val="aa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акт пуско-наладочных работ;</w:t>
      </w:r>
    </w:p>
    <w:p w:rsidR="003E275C" w:rsidRDefault="004824E7">
      <w:pPr>
        <w:pStyle w:val="aa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 xml:space="preserve">протокол испытаний на совместимость оборудования с действующей системой (при необходимости); </w:t>
      </w:r>
    </w:p>
    <w:p w:rsidR="003E275C" w:rsidRDefault="004824E7">
      <w:pPr>
        <w:pStyle w:val="aa"/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акт приёма-передачи оборудования, подписанный обеими сторонами.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  <w:r>
        <w:rPr>
          <w:rStyle w:val="a3"/>
          <w:rFonts w:ascii="Cambria" w:hAnsi="Cambria"/>
          <w:b/>
          <w:bCs/>
          <w:i w:val="0"/>
          <w:iCs w:val="0"/>
          <w:lang w:eastAsia="ru-RU"/>
        </w:rPr>
        <w:t>6. Требования к квалификации специалистов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6.1. Работы по монтажу и пуско-наладке оборудования должны выполняться специалистами, имеющими документ о прохождении обучения по программе, соответствующей профилю выполняемых работ (сертификат, удостоверение, свидетельство), выданный изготовителем имеющегося у Заказчика оборудования или организациями, изложенными в Руководстве по эксплуатации к имеющемуся у Заказчика оборудованию.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6.2. Подтверждающие документы предоставляются Подрядчиком по требованию Заказчика или в течении трех рабочих дней с даты заключения Договора.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6.3. В случае нарушения требований к квалификации специалистов, установленных настоящим пунктом, Заказчик вправе потребовать замены специалистов и/или привлечения к ответственности в соответствии с условиями Договора.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6.4. Монтаж оборудования должен осуществляться специалистами АО «ВИК «</w:t>
      </w: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Тензо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>-М», ООО «Торговый дом «</w:t>
      </w: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Тензо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>-М», ООО «</w:t>
      </w: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Тензо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>-М Интегратор» или официальными сертифицированными партнерами, прошедшими обучение и имеющими Сертификат АО «ВИК «</w:t>
      </w: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Тензо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>-М», подтверждающий право на монтаж и пуско-наладку СВК. Квалификация специалистов официальных партнеров подтверждается Свидетельством о прохождении обучения в АО «ВИК «</w:t>
      </w:r>
      <w:proofErr w:type="spellStart"/>
      <w:r>
        <w:rPr>
          <w:rStyle w:val="a3"/>
          <w:rFonts w:ascii="Cambria" w:hAnsi="Cambria"/>
          <w:i w:val="0"/>
          <w:iCs w:val="0"/>
          <w:lang w:eastAsia="ru-RU"/>
        </w:rPr>
        <w:t>Тензо</w:t>
      </w:r>
      <w:proofErr w:type="spellEnd"/>
      <w:r>
        <w:rPr>
          <w:rStyle w:val="a3"/>
          <w:rFonts w:ascii="Cambria" w:hAnsi="Cambria"/>
          <w:i w:val="0"/>
          <w:iCs w:val="0"/>
          <w:lang w:eastAsia="ru-RU"/>
        </w:rPr>
        <w:t>-М». В случае нарушения вышеуказанных требований, Производитель оставляет за собой право прекращения своих гарантийных обязательств.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  <w:r>
        <w:rPr>
          <w:rStyle w:val="a3"/>
          <w:rFonts w:ascii="Cambria" w:hAnsi="Cambria"/>
          <w:b/>
          <w:bCs/>
          <w:i w:val="0"/>
          <w:iCs w:val="0"/>
          <w:lang w:eastAsia="ru-RU"/>
        </w:rPr>
        <w:t>7. Срок выполнения работ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 xml:space="preserve">Срок выполнения работ — </w:t>
      </w:r>
      <w:r w:rsidR="00107766">
        <w:rPr>
          <w:rStyle w:val="a3"/>
          <w:rFonts w:ascii="Cambria" w:hAnsi="Cambria"/>
          <w:i w:val="0"/>
          <w:iCs w:val="0"/>
          <w:lang w:eastAsia="ru-RU"/>
        </w:rPr>
        <w:t>30 календарных дней с даты заключения Договора</w:t>
      </w:r>
      <w:bookmarkStart w:id="0" w:name="_GoBack"/>
      <w:bookmarkEnd w:id="0"/>
      <w:r>
        <w:rPr>
          <w:rStyle w:val="a3"/>
          <w:rFonts w:ascii="Cambria" w:hAnsi="Cambria"/>
          <w:i w:val="0"/>
          <w:iCs w:val="0"/>
          <w:lang w:eastAsia="ru-RU"/>
        </w:rPr>
        <w:t>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  <w:r>
        <w:rPr>
          <w:rStyle w:val="a3"/>
          <w:rFonts w:ascii="Cambria" w:hAnsi="Cambria"/>
          <w:b/>
          <w:bCs/>
          <w:i w:val="0"/>
          <w:iCs w:val="0"/>
          <w:lang w:eastAsia="ru-RU"/>
        </w:rPr>
        <w:t xml:space="preserve">8. Требования к безопасности и </w:t>
      </w:r>
      <w:proofErr w:type="spellStart"/>
      <w:r>
        <w:rPr>
          <w:rStyle w:val="a3"/>
          <w:rFonts w:ascii="Cambria" w:hAnsi="Cambria"/>
          <w:b/>
          <w:bCs/>
          <w:i w:val="0"/>
          <w:iCs w:val="0"/>
          <w:lang w:eastAsia="ru-RU"/>
        </w:rPr>
        <w:t>экологичности</w:t>
      </w:r>
      <w:proofErr w:type="spellEnd"/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8.1. Работы по монтажу и пуско-наладке оборудования должны выполняться с соблюдением требований:</w:t>
      </w:r>
    </w:p>
    <w:p w:rsidR="003E275C" w:rsidRDefault="004824E7">
      <w:pPr>
        <w:pStyle w:val="aa"/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Правил по охране труда при работе на автомобильных дорогах;</w:t>
      </w:r>
    </w:p>
    <w:p w:rsidR="003E275C" w:rsidRDefault="004824E7">
      <w:pPr>
        <w:pStyle w:val="aa"/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ГОСТ 12.1.004-91 «Пожарная безопасность. Общие требования»;</w:t>
      </w:r>
    </w:p>
    <w:p w:rsidR="003E275C" w:rsidRDefault="004824E7">
      <w:pPr>
        <w:pStyle w:val="aa"/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ГОСТ 12.3.002-2014 «Процессы производственные. Общие требования безопасности».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8.2. Подрядчик обязан обеспечить:</w:t>
      </w:r>
    </w:p>
    <w:p w:rsidR="003E275C" w:rsidRDefault="004824E7">
      <w:pPr>
        <w:pStyle w:val="aa"/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lastRenderedPageBreak/>
        <w:t>ограждение места производства работ в соответствии с ГОСТ Р 52289-2019;</w:t>
      </w:r>
    </w:p>
    <w:p w:rsidR="003E275C" w:rsidRDefault="004824E7">
      <w:pPr>
        <w:pStyle w:val="aa"/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применение средств индивидуальной защиты работниками;</w:t>
      </w:r>
    </w:p>
    <w:p w:rsidR="003E275C" w:rsidRDefault="004824E7">
      <w:pPr>
        <w:pStyle w:val="aa"/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утилизацию упаковки и отработанных материалов в соответствии с экологическим законодательством РФ.</w:t>
      </w:r>
    </w:p>
    <w:p w:rsidR="003E275C" w:rsidRDefault="003E275C">
      <w:pPr>
        <w:pStyle w:val="aa"/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b/>
          <w:bCs/>
          <w:i w:val="0"/>
          <w:iCs w:val="0"/>
          <w:lang w:eastAsia="ru-RU"/>
        </w:rPr>
      </w:pPr>
      <w:r>
        <w:rPr>
          <w:rStyle w:val="a3"/>
          <w:rFonts w:ascii="Cambria" w:hAnsi="Cambria"/>
          <w:b/>
          <w:bCs/>
          <w:i w:val="0"/>
          <w:iCs w:val="0"/>
          <w:lang w:eastAsia="ru-RU"/>
        </w:rPr>
        <w:t>9. Заключительные положения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9.1. Все встречающиеся в настоящем Техническом задании указания на товарные знаки, наименования моделей, аббревиатуры производителей следует читать со словами «или эквивалент».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9.2. При предложении эквивалентного оборудования Участник закупки обязан предоставить документальное подтверждение того, что предлагаемое оборудование соответствует всем техническим и функциональным характеристикам, указанным в настоящем Техническом задании, а предлагаемое оборудование совместимо с имеющимся у заказчика оборудованием.</w:t>
      </w: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>9.3. Заказчик оставляет за собой право запросить дополнительные сведения для проверки соответствия предлагаемого эквивалента.</w:t>
      </w: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p w:rsidR="003E275C" w:rsidRDefault="004824E7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  <w:r>
        <w:rPr>
          <w:rStyle w:val="a3"/>
          <w:rFonts w:ascii="Cambria" w:hAnsi="Cambria"/>
          <w:i w:val="0"/>
          <w:iCs w:val="0"/>
          <w:lang w:eastAsia="ru-RU"/>
        </w:rPr>
        <w:t xml:space="preserve"> Ведомость видов и стоимости работ</w:t>
      </w:r>
    </w:p>
    <w:p w:rsidR="003E275C" w:rsidRDefault="003E275C"/>
    <w:p w:rsidR="003E275C" w:rsidRDefault="003E275C">
      <w:pPr>
        <w:rPr>
          <w:rFonts w:ascii="Cambria" w:hAnsi="Cambria"/>
        </w:rPr>
      </w:pPr>
    </w:p>
    <w:tbl>
      <w:tblPr>
        <w:tblW w:w="9894" w:type="dxa"/>
        <w:tblInd w:w="24" w:type="dxa"/>
        <w:tblLayout w:type="fixed"/>
        <w:tblLook w:val="04A0" w:firstRow="1" w:lastRow="0" w:firstColumn="1" w:lastColumn="0" w:noHBand="0" w:noVBand="1"/>
      </w:tblPr>
      <w:tblGrid>
        <w:gridCol w:w="696"/>
        <w:gridCol w:w="4221"/>
        <w:gridCol w:w="1719"/>
        <w:gridCol w:w="1486"/>
        <w:gridCol w:w="1772"/>
      </w:tblGrid>
      <w:tr w:rsidR="003E275C">
        <w:tc>
          <w:tcPr>
            <w:tcW w:w="696" w:type="dxa"/>
          </w:tcPr>
          <w:p w:rsidR="003E275C" w:rsidRDefault="004824E7">
            <w:pPr>
              <w:spacing w:after="0" w:line="120" w:lineRule="atLeast"/>
              <w:contextualSpacing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b/>
                <w:lang w:eastAsia="ru-RU"/>
              </w:rPr>
              <w:t>1</w:t>
            </w:r>
          </w:p>
        </w:tc>
        <w:tc>
          <w:tcPr>
            <w:tcW w:w="4221" w:type="dxa"/>
          </w:tcPr>
          <w:p w:rsidR="003E275C" w:rsidRDefault="004824E7">
            <w:pPr>
              <w:spacing w:after="0" w:line="120" w:lineRule="atLeast"/>
              <w:contextualSpacing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b/>
                <w:lang w:eastAsia="ru-RU"/>
              </w:rPr>
              <w:t>Оборудование</w:t>
            </w:r>
          </w:p>
        </w:tc>
        <w:tc>
          <w:tcPr>
            <w:tcW w:w="1719" w:type="dxa"/>
          </w:tcPr>
          <w:p w:rsidR="003E275C" w:rsidRDefault="004824E7">
            <w:pPr>
              <w:spacing w:after="0" w:line="120" w:lineRule="atLeast"/>
              <w:contextualSpacing/>
              <w:jc w:val="center"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b/>
                <w:lang w:eastAsia="ru-RU"/>
              </w:rPr>
              <w:t>ед. измерения</w:t>
            </w:r>
          </w:p>
        </w:tc>
        <w:tc>
          <w:tcPr>
            <w:tcW w:w="1486" w:type="dxa"/>
          </w:tcPr>
          <w:p w:rsidR="003E275C" w:rsidRDefault="004824E7">
            <w:pPr>
              <w:spacing w:after="0" w:line="120" w:lineRule="atLeast"/>
              <w:contextualSpacing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b/>
                <w:lang w:eastAsia="ru-RU"/>
              </w:rPr>
              <w:t>количество</w:t>
            </w:r>
          </w:p>
        </w:tc>
        <w:tc>
          <w:tcPr>
            <w:tcW w:w="1772" w:type="dxa"/>
          </w:tcPr>
          <w:p w:rsidR="003E275C" w:rsidRDefault="004824E7">
            <w:pPr>
              <w:spacing w:after="0" w:line="120" w:lineRule="atLeast"/>
              <w:contextualSpacing/>
              <w:jc w:val="center"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b/>
                <w:lang w:eastAsia="ru-RU"/>
              </w:rPr>
              <w:t>Стоимость, руб.</w:t>
            </w:r>
          </w:p>
        </w:tc>
      </w:tr>
      <w:tr w:rsidR="003E275C">
        <w:tc>
          <w:tcPr>
            <w:tcW w:w="696" w:type="dxa"/>
          </w:tcPr>
          <w:p w:rsidR="003E275C" w:rsidRDefault="004824E7">
            <w:pPr>
              <w:spacing w:after="0" w:line="120" w:lineRule="atLeast"/>
              <w:contextualSpacing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lang w:eastAsia="ru-RU"/>
              </w:rPr>
              <w:t>1.</w:t>
            </w:r>
          </w:p>
        </w:tc>
        <w:tc>
          <w:tcPr>
            <w:tcW w:w="4221" w:type="dxa"/>
          </w:tcPr>
          <w:p w:rsidR="003E275C" w:rsidRDefault="004824E7">
            <w:pPr>
              <w:spacing w:after="0" w:line="120" w:lineRule="atLeast"/>
              <w:contextualSpacing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szCs w:val="24"/>
                <w:lang w:eastAsia="ru-RU"/>
              </w:rPr>
              <w:t>Блок динамического взвешивания контроля (БДВК)</w:t>
            </w:r>
          </w:p>
        </w:tc>
        <w:tc>
          <w:tcPr>
            <w:tcW w:w="1719" w:type="dxa"/>
          </w:tcPr>
          <w:p w:rsidR="003E275C" w:rsidRDefault="004824E7">
            <w:pPr>
              <w:spacing w:after="0" w:line="120" w:lineRule="atLeast"/>
              <w:contextualSpacing/>
              <w:jc w:val="center"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lang w:eastAsia="ru-RU"/>
              </w:rPr>
              <w:t>шт.</w:t>
            </w:r>
          </w:p>
        </w:tc>
        <w:tc>
          <w:tcPr>
            <w:tcW w:w="1486" w:type="dxa"/>
          </w:tcPr>
          <w:p w:rsidR="003E275C" w:rsidRDefault="004824E7">
            <w:pPr>
              <w:spacing w:after="0" w:line="120" w:lineRule="atLeast"/>
              <w:contextualSpacing/>
              <w:jc w:val="center"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lang w:eastAsia="ru-RU"/>
              </w:rPr>
              <w:t>1</w:t>
            </w:r>
          </w:p>
        </w:tc>
        <w:tc>
          <w:tcPr>
            <w:tcW w:w="1772" w:type="dxa"/>
            <w:vMerge w:val="restart"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lang w:eastAsia="ru-RU"/>
              </w:rPr>
            </w:pPr>
          </w:p>
        </w:tc>
      </w:tr>
      <w:tr w:rsidR="003E275C">
        <w:tc>
          <w:tcPr>
            <w:tcW w:w="696" w:type="dxa"/>
          </w:tcPr>
          <w:p w:rsidR="003E275C" w:rsidRDefault="004824E7">
            <w:pPr>
              <w:spacing w:after="0" w:line="120" w:lineRule="atLeast"/>
              <w:contextualSpacing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color w:val="000000"/>
                <w:lang w:eastAsia="ru-RU"/>
              </w:rPr>
              <w:t>2</w:t>
            </w:r>
          </w:p>
        </w:tc>
        <w:tc>
          <w:tcPr>
            <w:tcW w:w="4221" w:type="dxa"/>
          </w:tcPr>
          <w:p w:rsidR="003E275C" w:rsidRDefault="004824E7">
            <w:pPr>
              <w:spacing w:after="0" w:line="120" w:lineRule="atLeast"/>
              <w:contextualSpacing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b/>
                <w:bCs/>
                <w:lang w:eastAsia="ru-RU"/>
              </w:rPr>
              <w:t>Монтажные и пусконаладочные работы</w:t>
            </w:r>
          </w:p>
        </w:tc>
        <w:tc>
          <w:tcPr>
            <w:tcW w:w="1719" w:type="dxa"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  <w:tc>
          <w:tcPr>
            <w:tcW w:w="1486" w:type="dxa"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  <w:tc>
          <w:tcPr>
            <w:tcW w:w="1772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</w:tr>
      <w:tr w:rsidR="003E275C">
        <w:tc>
          <w:tcPr>
            <w:tcW w:w="696" w:type="dxa"/>
            <w:vAlign w:val="center"/>
          </w:tcPr>
          <w:p w:rsidR="003E275C" w:rsidRDefault="004824E7">
            <w:pPr>
              <w:spacing w:after="0" w:line="120" w:lineRule="atLeast"/>
              <w:jc w:val="center"/>
              <w:outlineLvl w:val="0"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lang w:eastAsia="ru-RU"/>
              </w:rPr>
              <w:t>2.1</w:t>
            </w:r>
          </w:p>
        </w:tc>
        <w:tc>
          <w:tcPr>
            <w:tcW w:w="4221" w:type="dxa"/>
            <w:vAlign w:val="center"/>
          </w:tcPr>
          <w:p w:rsidR="003E275C" w:rsidRDefault="004824E7">
            <w:pPr>
              <w:spacing w:after="0" w:line="120" w:lineRule="atLeast"/>
              <w:outlineLvl w:val="0"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color w:val="000000"/>
                <w:lang w:eastAsia="ru-RU"/>
              </w:rPr>
              <w:t>- Выполнение работ по демонтажу БДВК</w:t>
            </w:r>
          </w:p>
        </w:tc>
        <w:tc>
          <w:tcPr>
            <w:tcW w:w="1719" w:type="dxa"/>
            <w:vMerge w:val="restart"/>
          </w:tcPr>
          <w:p w:rsidR="003E275C" w:rsidRDefault="004824E7">
            <w:pPr>
              <w:spacing w:after="0" w:line="120" w:lineRule="atLeast"/>
              <w:contextualSpacing/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eastAsia="Arial" w:hAnsi="Cambria" w:cs="Arial"/>
                <w:color w:val="000000"/>
                <w:lang w:eastAsia="ru-RU"/>
              </w:rPr>
              <w:t>компл</w:t>
            </w:r>
            <w:proofErr w:type="spellEnd"/>
            <w:r>
              <w:rPr>
                <w:rFonts w:ascii="Cambria" w:eastAsia="Arial" w:hAnsi="Cambria" w:cs="Arial"/>
                <w:color w:val="000000"/>
                <w:lang w:eastAsia="ru-RU"/>
              </w:rPr>
              <w:t>.</w:t>
            </w:r>
          </w:p>
        </w:tc>
        <w:tc>
          <w:tcPr>
            <w:tcW w:w="1486" w:type="dxa"/>
            <w:vMerge w:val="restart"/>
          </w:tcPr>
          <w:p w:rsidR="003E275C" w:rsidRDefault="004824E7">
            <w:pPr>
              <w:spacing w:after="0" w:line="120" w:lineRule="atLeast"/>
              <w:contextualSpacing/>
              <w:jc w:val="center"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color w:val="000000"/>
                <w:lang w:eastAsia="ru-RU"/>
              </w:rPr>
              <w:t>1</w:t>
            </w:r>
          </w:p>
        </w:tc>
        <w:tc>
          <w:tcPr>
            <w:tcW w:w="1772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</w:tr>
      <w:tr w:rsidR="003E275C">
        <w:tc>
          <w:tcPr>
            <w:tcW w:w="696" w:type="dxa"/>
            <w:vAlign w:val="center"/>
          </w:tcPr>
          <w:p w:rsidR="003E275C" w:rsidRDefault="004824E7">
            <w:pPr>
              <w:spacing w:after="0" w:line="120" w:lineRule="atLeast"/>
              <w:jc w:val="center"/>
              <w:outlineLvl w:val="0"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lang w:eastAsia="ru-RU"/>
              </w:rPr>
              <w:t>2.2</w:t>
            </w:r>
          </w:p>
        </w:tc>
        <w:tc>
          <w:tcPr>
            <w:tcW w:w="4221" w:type="dxa"/>
            <w:vAlign w:val="center"/>
          </w:tcPr>
          <w:p w:rsidR="003E275C" w:rsidRDefault="004824E7">
            <w:pPr>
              <w:spacing w:after="0" w:line="120" w:lineRule="atLeast"/>
              <w:outlineLvl w:val="0"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color w:val="000000"/>
                <w:lang w:eastAsia="ru-RU"/>
              </w:rPr>
              <w:t>- Выполнение работ по монтажу БДВК</w:t>
            </w:r>
          </w:p>
        </w:tc>
        <w:tc>
          <w:tcPr>
            <w:tcW w:w="1719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hAnsi="Cambria"/>
              </w:rPr>
            </w:pPr>
          </w:p>
        </w:tc>
        <w:tc>
          <w:tcPr>
            <w:tcW w:w="1486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hAnsi="Cambria"/>
              </w:rPr>
            </w:pPr>
          </w:p>
        </w:tc>
        <w:tc>
          <w:tcPr>
            <w:tcW w:w="1772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</w:tr>
      <w:tr w:rsidR="003E275C">
        <w:tc>
          <w:tcPr>
            <w:tcW w:w="696" w:type="dxa"/>
            <w:vAlign w:val="center"/>
          </w:tcPr>
          <w:p w:rsidR="003E275C" w:rsidRDefault="004824E7">
            <w:pPr>
              <w:spacing w:after="0" w:line="120" w:lineRule="atLeast"/>
              <w:jc w:val="center"/>
              <w:outlineLvl w:val="0"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lang w:eastAsia="ru-RU"/>
              </w:rPr>
              <w:t>2.3</w:t>
            </w:r>
          </w:p>
        </w:tc>
        <w:tc>
          <w:tcPr>
            <w:tcW w:w="4221" w:type="dxa"/>
            <w:vAlign w:val="center"/>
          </w:tcPr>
          <w:p w:rsidR="003E275C" w:rsidRDefault="004824E7">
            <w:pPr>
              <w:spacing w:after="0" w:line="120" w:lineRule="atLeast"/>
              <w:outlineLvl w:val="0"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color w:val="000000"/>
                <w:lang w:eastAsia="ru-RU"/>
              </w:rPr>
              <w:t>- Выполнение работ по пуско-наладке АПВГК</w:t>
            </w:r>
          </w:p>
        </w:tc>
        <w:tc>
          <w:tcPr>
            <w:tcW w:w="1719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  <w:tc>
          <w:tcPr>
            <w:tcW w:w="1486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  <w:tc>
          <w:tcPr>
            <w:tcW w:w="1772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</w:tr>
      <w:tr w:rsidR="003E275C">
        <w:tc>
          <w:tcPr>
            <w:tcW w:w="696" w:type="dxa"/>
            <w:vAlign w:val="center"/>
          </w:tcPr>
          <w:p w:rsidR="003E275C" w:rsidRDefault="004824E7">
            <w:pPr>
              <w:spacing w:after="0" w:line="120" w:lineRule="atLeast"/>
              <w:jc w:val="center"/>
              <w:outlineLvl w:val="0"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lang w:eastAsia="ru-RU"/>
              </w:rPr>
              <w:t>2.4</w:t>
            </w:r>
          </w:p>
        </w:tc>
        <w:tc>
          <w:tcPr>
            <w:tcW w:w="4221" w:type="dxa"/>
            <w:vAlign w:val="center"/>
          </w:tcPr>
          <w:p w:rsidR="003E275C" w:rsidRDefault="004824E7">
            <w:pPr>
              <w:spacing w:after="0" w:line="120" w:lineRule="atLeast"/>
              <w:outlineLvl w:val="0"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color w:val="000000"/>
                <w:lang w:eastAsia="ru-RU"/>
              </w:rPr>
              <w:t>Проведение с привлечением ЦСМ метрологической поверки СВК</w:t>
            </w:r>
          </w:p>
        </w:tc>
        <w:tc>
          <w:tcPr>
            <w:tcW w:w="1719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  <w:tc>
          <w:tcPr>
            <w:tcW w:w="1486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  <w:tc>
          <w:tcPr>
            <w:tcW w:w="1772" w:type="dxa"/>
            <w:vMerge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</w:tr>
      <w:tr w:rsidR="003E275C">
        <w:tc>
          <w:tcPr>
            <w:tcW w:w="696" w:type="dxa"/>
            <w:vAlign w:val="center"/>
          </w:tcPr>
          <w:p w:rsidR="003E275C" w:rsidRDefault="003E275C">
            <w:pPr>
              <w:spacing w:after="0" w:line="120" w:lineRule="atLeast"/>
              <w:jc w:val="center"/>
              <w:outlineLvl w:val="0"/>
              <w:rPr>
                <w:rFonts w:ascii="Cambria" w:eastAsia="Times New Roman" w:hAnsi="Cambria" w:cs="Arial"/>
                <w:b/>
                <w:lang w:eastAsia="ru-RU"/>
              </w:rPr>
            </w:pPr>
          </w:p>
        </w:tc>
        <w:tc>
          <w:tcPr>
            <w:tcW w:w="4221" w:type="dxa"/>
            <w:vAlign w:val="center"/>
          </w:tcPr>
          <w:p w:rsidR="003E275C" w:rsidRDefault="004824E7">
            <w:pPr>
              <w:spacing w:after="0" w:line="120" w:lineRule="atLeast"/>
              <w:outlineLvl w:val="0"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719" w:type="dxa"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b/>
                <w:color w:val="000000"/>
                <w:lang w:eastAsia="ru-RU"/>
              </w:rPr>
            </w:pPr>
          </w:p>
        </w:tc>
        <w:tc>
          <w:tcPr>
            <w:tcW w:w="1486" w:type="dxa"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b/>
                <w:color w:val="000000"/>
                <w:lang w:eastAsia="ru-RU"/>
              </w:rPr>
            </w:pPr>
          </w:p>
        </w:tc>
        <w:tc>
          <w:tcPr>
            <w:tcW w:w="1772" w:type="dxa"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b/>
                <w:color w:val="000000"/>
                <w:lang w:eastAsia="ru-RU"/>
              </w:rPr>
            </w:pPr>
          </w:p>
        </w:tc>
      </w:tr>
      <w:tr w:rsidR="003E275C">
        <w:tc>
          <w:tcPr>
            <w:tcW w:w="696" w:type="dxa"/>
            <w:vAlign w:val="center"/>
          </w:tcPr>
          <w:p w:rsidR="003E275C" w:rsidRDefault="003E275C">
            <w:pPr>
              <w:spacing w:after="0" w:line="120" w:lineRule="atLeast"/>
              <w:jc w:val="center"/>
              <w:outlineLvl w:val="0"/>
              <w:rPr>
                <w:rFonts w:ascii="Cambria" w:eastAsia="Times New Roman" w:hAnsi="Cambria" w:cs="Arial"/>
                <w:lang w:eastAsia="ru-RU"/>
              </w:rPr>
            </w:pPr>
          </w:p>
        </w:tc>
        <w:tc>
          <w:tcPr>
            <w:tcW w:w="4221" w:type="dxa"/>
            <w:vAlign w:val="center"/>
          </w:tcPr>
          <w:p w:rsidR="003E275C" w:rsidRDefault="004824E7">
            <w:pPr>
              <w:spacing w:after="0" w:line="120" w:lineRule="atLeast"/>
              <w:outlineLvl w:val="0"/>
              <w:rPr>
                <w:rFonts w:ascii="Cambria" w:hAnsi="Cambria"/>
              </w:rPr>
            </w:pPr>
            <w:r>
              <w:rPr>
                <w:rFonts w:ascii="Cambria" w:eastAsia="Times New Roman" w:hAnsi="Cambria" w:cs="Arial"/>
                <w:color w:val="000000"/>
                <w:lang w:eastAsia="ru-RU"/>
              </w:rPr>
              <w:t>в том числе НДС 22%</w:t>
            </w:r>
          </w:p>
        </w:tc>
        <w:tc>
          <w:tcPr>
            <w:tcW w:w="1719" w:type="dxa"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  <w:tc>
          <w:tcPr>
            <w:tcW w:w="1486" w:type="dxa"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eastAsia="Arial" w:hAnsi="Cambria" w:cs="Arial"/>
                <w:color w:val="000000"/>
                <w:lang w:eastAsia="ru-RU"/>
              </w:rPr>
            </w:pPr>
          </w:p>
        </w:tc>
        <w:tc>
          <w:tcPr>
            <w:tcW w:w="1772" w:type="dxa"/>
          </w:tcPr>
          <w:p w:rsidR="003E275C" w:rsidRDefault="003E275C">
            <w:pPr>
              <w:spacing w:after="0" w:line="120" w:lineRule="atLeast"/>
              <w:contextualSpacing/>
              <w:jc w:val="center"/>
              <w:rPr>
                <w:rFonts w:ascii="Cambria" w:hAnsi="Cambria"/>
              </w:rPr>
            </w:pPr>
          </w:p>
        </w:tc>
      </w:tr>
    </w:tbl>
    <w:p w:rsidR="003E275C" w:rsidRDefault="003E275C">
      <w:pPr>
        <w:rPr>
          <w:rFonts w:ascii="Cambria" w:hAnsi="Cambria"/>
        </w:rPr>
      </w:pPr>
    </w:p>
    <w:p w:rsidR="003E275C" w:rsidRDefault="003E275C">
      <w:pPr>
        <w:shd w:val="clear" w:color="auto" w:fill="FFFFFF"/>
        <w:spacing w:after="0" w:line="276" w:lineRule="auto"/>
        <w:jc w:val="both"/>
        <w:rPr>
          <w:rStyle w:val="a3"/>
          <w:rFonts w:ascii="Cambria" w:hAnsi="Cambria"/>
          <w:i w:val="0"/>
          <w:iCs w:val="0"/>
          <w:lang w:eastAsia="ru-RU"/>
        </w:rPr>
      </w:pPr>
    </w:p>
    <w:sectPr w:rsidR="003E275C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XO Caliburn"/>
    <w:panose1 w:val="020F0502020204030204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Times New Roman"/>
    <w:panose1 w:val="0204050305040603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6477"/>
    <w:multiLevelType w:val="multilevel"/>
    <w:tmpl w:val="02BC58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832BC8"/>
    <w:multiLevelType w:val="multilevel"/>
    <w:tmpl w:val="92CAE2B0"/>
    <w:lvl w:ilvl="0">
      <w:start w:val="2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13DF0201"/>
    <w:multiLevelType w:val="multilevel"/>
    <w:tmpl w:val="11541C96"/>
    <w:lvl w:ilvl="0">
      <w:start w:val="2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326D2C21"/>
    <w:multiLevelType w:val="multilevel"/>
    <w:tmpl w:val="3DB0E970"/>
    <w:lvl w:ilvl="0">
      <w:start w:val="2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36563388"/>
    <w:multiLevelType w:val="multilevel"/>
    <w:tmpl w:val="6C265E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493797"/>
    <w:multiLevelType w:val="multilevel"/>
    <w:tmpl w:val="921EFA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8C471AD"/>
    <w:multiLevelType w:val="multilevel"/>
    <w:tmpl w:val="9084AF8A"/>
    <w:lvl w:ilvl="0">
      <w:start w:val="3"/>
      <w:numFmt w:val="decimal"/>
      <w:lvlText w:val="%1."/>
      <w:lvlJc w:val="left"/>
      <w:pPr>
        <w:tabs>
          <w:tab w:val="num" w:pos="0"/>
        </w:tabs>
        <w:ind w:left="495" w:hanging="495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b w:val="0"/>
      </w:rPr>
    </w:lvl>
  </w:abstractNum>
  <w:abstractNum w:abstractNumId="7" w15:restartNumberingAfterBreak="0">
    <w:nsid w:val="3A2143D4"/>
    <w:multiLevelType w:val="multilevel"/>
    <w:tmpl w:val="AE5EBB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6EA258F"/>
    <w:multiLevelType w:val="multilevel"/>
    <w:tmpl w:val="29225E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34476E5"/>
    <w:multiLevelType w:val="multilevel"/>
    <w:tmpl w:val="0A968234"/>
    <w:lvl w:ilvl="0">
      <w:start w:val="3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0" w15:restartNumberingAfterBreak="0">
    <w:nsid w:val="74621FB9"/>
    <w:multiLevelType w:val="multilevel"/>
    <w:tmpl w:val="4A4233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CAE7D67"/>
    <w:multiLevelType w:val="multilevel"/>
    <w:tmpl w:val="6310B7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6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 w:numId="10">
    <w:abstractNumId w:val="11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75C"/>
    <w:rsid w:val="00107766"/>
    <w:rsid w:val="003E275C"/>
    <w:rsid w:val="0048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B875B"/>
  <w15:docId w15:val="{E3697F30-1E89-4A30-979F-E9311DA9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35060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50601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50601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50601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3506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3506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wen-markdown-text">
    <w:name w:val="qwen-markdown-text"/>
    <w:basedOn w:val="a0"/>
    <w:qFormat/>
    <w:rsid w:val="00350601"/>
  </w:style>
  <w:style w:type="character" w:styleId="a3">
    <w:name w:val="Emphasis"/>
    <w:basedOn w:val="a0"/>
    <w:uiPriority w:val="20"/>
    <w:qFormat/>
    <w:rsid w:val="00350601"/>
    <w:rPr>
      <w:i/>
      <w:iCs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Noto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9">
    <w:name w:val="No Spacing"/>
    <w:uiPriority w:val="1"/>
    <w:qFormat/>
    <w:rsid w:val="00350601"/>
  </w:style>
  <w:style w:type="paragraph" w:styleId="aa">
    <w:name w:val="List Paragraph"/>
    <w:basedOn w:val="a"/>
    <w:uiPriority w:val="34"/>
    <w:qFormat/>
    <w:rsid w:val="00350601"/>
    <w:pPr>
      <w:ind w:left="720"/>
      <w:contextualSpacing/>
    </w:pPr>
  </w:style>
  <w:style w:type="paragraph" w:customStyle="1" w:styleId="ab">
    <w:name w:val="Комментарий"/>
    <w:basedOn w:val="a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pPr>
      <w:jc w:val="center"/>
    </w:pPr>
    <w:rPr>
      <w:b/>
      <w:bCs/>
    </w:rPr>
  </w:style>
  <w:style w:type="numbering" w:customStyle="1" w:styleId="ac">
    <w:name w:val="Без списка"/>
    <w:uiPriority w:val="99"/>
    <w:semiHidden/>
    <w:unhideWhenUsed/>
    <w:qFormat/>
  </w:style>
  <w:style w:type="table" w:styleId="ad">
    <w:name w:val="Table Grid"/>
    <w:basedOn w:val="a1"/>
    <w:uiPriority w:val="39"/>
    <w:rsid w:val="00FE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1810</Words>
  <Characters>10319</Characters>
  <Application>Microsoft Office Word</Application>
  <DocSecurity>0</DocSecurity>
  <Lines>85</Lines>
  <Paragraphs>24</Paragraphs>
  <ScaleCrop>false</ScaleCrop>
  <Company>ПАО "Ростелеком"</Company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tenso_integrator</dc:creator>
  <dc:description/>
  <cp:lastModifiedBy>Григорьева Светлана Вячеславовна</cp:lastModifiedBy>
  <cp:revision>14</cp:revision>
  <dcterms:created xsi:type="dcterms:W3CDTF">2026-04-09T12:44:00Z</dcterms:created>
  <dcterms:modified xsi:type="dcterms:W3CDTF">2026-05-08T11:32:00Z</dcterms:modified>
  <dc:language>ru-RU</dc:language>
</cp:coreProperties>
</file>